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6CE9" w14:textId="05627577" w:rsidR="007C103F" w:rsidRDefault="00B76E92" w:rsidP="00B76E92">
      <w:pPr>
        <w:spacing w:line="240" w:lineRule="auto"/>
        <w:jc w:val="center"/>
      </w:pPr>
      <w:r>
        <w:rPr>
          <w:rStyle w:val="normaltextrun"/>
          <w:rFonts w:ascii="Calibri Light" w:hAnsi="Calibri Light" w:cs="Calibri Light"/>
          <w:color w:val="000000"/>
          <w:sz w:val="56"/>
          <w:szCs w:val="56"/>
          <w:shd w:val="clear" w:color="auto" w:fill="FFFFFF"/>
        </w:rPr>
        <w:t>Fellowship vs. Grant Matrix</w:t>
      </w:r>
    </w:p>
    <w:tbl>
      <w:tblPr>
        <w:tblStyle w:val="TableGrid"/>
        <w:tblW w:w="0" w:type="auto"/>
        <w:tblLook w:val="04A0" w:firstRow="1" w:lastRow="0" w:firstColumn="1" w:lastColumn="0" w:noHBand="0" w:noVBand="1"/>
      </w:tblPr>
      <w:tblGrid>
        <w:gridCol w:w="1885"/>
        <w:gridCol w:w="3671"/>
        <w:gridCol w:w="2064"/>
        <w:gridCol w:w="1236"/>
        <w:gridCol w:w="1934"/>
      </w:tblGrid>
      <w:tr w:rsidR="00B76E92" w:rsidRPr="007C103F" w14:paraId="4F8C9384" w14:textId="77777777" w:rsidTr="00B76E92">
        <w:trPr>
          <w:trHeight w:val="290"/>
        </w:trPr>
        <w:tc>
          <w:tcPr>
            <w:tcW w:w="1905" w:type="dxa"/>
            <w:noWrap/>
            <w:hideMark/>
          </w:tcPr>
          <w:p w14:paraId="5DE09ABE" w14:textId="77777777" w:rsidR="00B76E92" w:rsidRPr="007C103F" w:rsidRDefault="00B76E92" w:rsidP="00E546BE">
            <w:pPr>
              <w:rPr>
                <w:b/>
                <w:bCs/>
              </w:rPr>
            </w:pPr>
            <w:r w:rsidRPr="007C103F">
              <w:rPr>
                <w:b/>
                <w:bCs/>
              </w:rPr>
              <w:t>Anticipated Award Type</w:t>
            </w:r>
          </w:p>
        </w:tc>
        <w:tc>
          <w:tcPr>
            <w:tcW w:w="3712" w:type="dxa"/>
            <w:noWrap/>
            <w:hideMark/>
          </w:tcPr>
          <w:p w14:paraId="0C9D55CD" w14:textId="77777777" w:rsidR="00B76E92" w:rsidRPr="007C103F" w:rsidRDefault="00B76E92" w:rsidP="00E546BE">
            <w:pPr>
              <w:rPr>
                <w:b/>
                <w:bCs/>
              </w:rPr>
            </w:pPr>
            <w:r w:rsidRPr="007C103F">
              <w:rPr>
                <w:b/>
                <w:bCs/>
              </w:rPr>
              <w:t>Definition</w:t>
            </w:r>
          </w:p>
        </w:tc>
        <w:tc>
          <w:tcPr>
            <w:tcW w:w="2086" w:type="dxa"/>
            <w:noWrap/>
            <w:hideMark/>
          </w:tcPr>
          <w:p w14:paraId="0AF146BC" w14:textId="77777777" w:rsidR="00B76E92" w:rsidRPr="007C103F" w:rsidRDefault="00B76E92" w:rsidP="00E546BE">
            <w:pPr>
              <w:rPr>
                <w:b/>
                <w:bCs/>
              </w:rPr>
            </w:pPr>
            <w:r w:rsidRPr="007C103F">
              <w:rPr>
                <w:b/>
                <w:bCs/>
              </w:rPr>
              <w:t>PI</w:t>
            </w:r>
          </w:p>
        </w:tc>
        <w:tc>
          <w:tcPr>
            <w:tcW w:w="1132" w:type="dxa"/>
            <w:noWrap/>
            <w:hideMark/>
          </w:tcPr>
          <w:p w14:paraId="653342AE" w14:textId="77777777" w:rsidR="00B76E92" w:rsidRPr="007C103F" w:rsidRDefault="00B76E92" w:rsidP="00E546BE">
            <w:pPr>
              <w:rPr>
                <w:b/>
                <w:bCs/>
              </w:rPr>
            </w:pPr>
            <w:r w:rsidRPr="007C103F">
              <w:rPr>
                <w:b/>
                <w:bCs/>
              </w:rPr>
              <w:t>COI</w:t>
            </w:r>
          </w:p>
        </w:tc>
        <w:tc>
          <w:tcPr>
            <w:tcW w:w="1955" w:type="dxa"/>
            <w:noWrap/>
            <w:hideMark/>
          </w:tcPr>
          <w:p w14:paraId="7A9209BD" w14:textId="77777777" w:rsidR="00B76E92" w:rsidRPr="007C103F" w:rsidRDefault="00B76E92" w:rsidP="00E546BE">
            <w:pPr>
              <w:rPr>
                <w:b/>
                <w:bCs/>
              </w:rPr>
            </w:pPr>
            <w:r w:rsidRPr="007C103F">
              <w:rPr>
                <w:b/>
                <w:bCs/>
              </w:rPr>
              <w:t>IDC</w:t>
            </w:r>
          </w:p>
        </w:tc>
      </w:tr>
      <w:tr w:rsidR="00B76E92" w:rsidRPr="007C103F" w14:paraId="137AE685" w14:textId="77777777" w:rsidTr="00B76E92">
        <w:trPr>
          <w:trHeight w:val="1450"/>
        </w:trPr>
        <w:tc>
          <w:tcPr>
            <w:tcW w:w="1905" w:type="dxa"/>
            <w:hideMark/>
          </w:tcPr>
          <w:p w14:paraId="5F041288" w14:textId="77777777" w:rsidR="00B76E92" w:rsidRPr="007C103F" w:rsidRDefault="00B76E92" w:rsidP="00E546BE">
            <w:r w:rsidRPr="007C103F">
              <w:t>Fellowship</w:t>
            </w:r>
          </w:p>
        </w:tc>
        <w:tc>
          <w:tcPr>
            <w:tcW w:w="3712" w:type="dxa"/>
            <w:hideMark/>
          </w:tcPr>
          <w:p w14:paraId="3A47D49B" w14:textId="77777777" w:rsidR="00B76E92" w:rsidRPr="007C103F" w:rsidRDefault="00B76E92" w:rsidP="00E546BE">
            <w:r w:rsidRPr="007C103F">
              <w:t>Awarded to the specific individual and the award follows the individual should they leave UC San Diego.  The individual will be mentored by a UC San Diego faculty member. The purpose of the award is to enhance an individual’s potential to develop into an independent researcher/scholar.</w:t>
            </w:r>
          </w:p>
        </w:tc>
        <w:tc>
          <w:tcPr>
            <w:tcW w:w="2086" w:type="dxa"/>
            <w:hideMark/>
          </w:tcPr>
          <w:p w14:paraId="70B4190B" w14:textId="77777777" w:rsidR="00B76E92" w:rsidRPr="007C103F" w:rsidRDefault="00B76E92" w:rsidP="00E546BE">
            <w:r w:rsidRPr="007C103F">
              <w:t xml:space="preserve">The named Fellow receiving the Fellowship is listed as the PI in </w:t>
            </w:r>
            <w:proofErr w:type="spellStart"/>
            <w:r w:rsidRPr="007C103F">
              <w:t>ePD</w:t>
            </w:r>
            <w:proofErr w:type="spellEnd"/>
            <w:r w:rsidRPr="007C103F">
              <w:t xml:space="preserve"> (PI exception is not required for Fellowships.)  The mentor is listed as "Key Study Person" in KR PD. </w:t>
            </w:r>
          </w:p>
        </w:tc>
        <w:tc>
          <w:tcPr>
            <w:tcW w:w="1132" w:type="dxa"/>
            <w:hideMark/>
          </w:tcPr>
          <w:p w14:paraId="4831B9ED" w14:textId="77777777" w:rsidR="00B76E92" w:rsidRPr="007C103F" w:rsidRDefault="00B76E92" w:rsidP="00E546BE">
            <w:r w:rsidRPr="007C103F">
              <w:t>Not required.  Fellowships will not trigger KCOI.</w:t>
            </w:r>
          </w:p>
        </w:tc>
        <w:tc>
          <w:tcPr>
            <w:tcW w:w="1955" w:type="dxa"/>
            <w:hideMark/>
          </w:tcPr>
          <w:p w14:paraId="36B6878C" w14:textId="77777777" w:rsidR="00B76E92" w:rsidRPr="007C103F" w:rsidRDefault="00B76E92" w:rsidP="00E546BE">
            <w:r w:rsidRPr="007C103F">
              <w:t>For industry with a sponsor policy, the federally-negotiated F&amp;A rate applies unless it meets the criteria listed below.  For all other sponsors, follow standard IDC practices.</w:t>
            </w:r>
          </w:p>
        </w:tc>
      </w:tr>
      <w:tr w:rsidR="00B76E92" w:rsidRPr="007C103F" w14:paraId="733A08AB" w14:textId="77777777" w:rsidTr="00B76E92">
        <w:trPr>
          <w:trHeight w:val="1740"/>
        </w:trPr>
        <w:tc>
          <w:tcPr>
            <w:tcW w:w="1905" w:type="dxa"/>
            <w:noWrap/>
            <w:hideMark/>
          </w:tcPr>
          <w:p w14:paraId="6CEA3BEE" w14:textId="77777777" w:rsidR="00B76E92" w:rsidRPr="007C103F" w:rsidRDefault="00B76E92" w:rsidP="00E546BE">
            <w:r w:rsidRPr="007C103F">
              <w:t xml:space="preserve">Grant </w:t>
            </w:r>
          </w:p>
        </w:tc>
        <w:tc>
          <w:tcPr>
            <w:tcW w:w="3712" w:type="dxa"/>
            <w:hideMark/>
          </w:tcPr>
          <w:p w14:paraId="7109FB77" w14:textId="77777777" w:rsidR="00B76E92" w:rsidRPr="007C103F" w:rsidRDefault="00B76E92" w:rsidP="00E546BE">
            <w:r w:rsidRPr="007C103F">
              <w:t>Awarded to the PI to fund a training or fellowship program. In this case, the PI oversees the program and selects the fellow/trainee. The award stays at UC San Diego and does not follow a fellow/trainee. This also applies to non-research supported activities (clearly distinguishable from research contracts which state anticipated outcomes in specific areas of corporate interest solicited by the corporation.)</w:t>
            </w:r>
          </w:p>
        </w:tc>
        <w:tc>
          <w:tcPr>
            <w:tcW w:w="2086" w:type="dxa"/>
            <w:hideMark/>
          </w:tcPr>
          <w:p w14:paraId="2700F48D" w14:textId="77777777" w:rsidR="00B76E92" w:rsidRPr="007C103F" w:rsidRDefault="00B76E92" w:rsidP="00E546BE">
            <w:r w:rsidRPr="007C103F">
              <w:t>The faculty member is listed as the PI in KR PD.</w:t>
            </w:r>
          </w:p>
        </w:tc>
        <w:tc>
          <w:tcPr>
            <w:tcW w:w="1132" w:type="dxa"/>
            <w:hideMark/>
          </w:tcPr>
          <w:p w14:paraId="6AB2837C" w14:textId="77777777" w:rsidR="00B76E92" w:rsidRPr="007C103F" w:rsidRDefault="00B76E92" w:rsidP="00E546BE">
            <w:r w:rsidRPr="007C103F">
              <w:t>Required. Grants will trigger KCOI.</w:t>
            </w:r>
          </w:p>
        </w:tc>
        <w:tc>
          <w:tcPr>
            <w:tcW w:w="1955" w:type="dxa"/>
            <w:hideMark/>
          </w:tcPr>
          <w:p w14:paraId="5D6B2A13" w14:textId="77777777" w:rsidR="00B76E92" w:rsidRPr="007C103F" w:rsidRDefault="00B76E92" w:rsidP="00E546BE">
            <w:r w:rsidRPr="007C103F">
              <w:t>For industry with a sponsor policy, the federally-negotiated F&amp;A rate applies unless it meets the criteria listed below.  For all other sponsors, follow standard IDC practices.</w:t>
            </w:r>
          </w:p>
        </w:tc>
      </w:tr>
    </w:tbl>
    <w:p w14:paraId="146B8C4C" w14:textId="77777777" w:rsidR="00B76E92" w:rsidRDefault="00B76E92" w:rsidP="00B76E92">
      <w:pPr>
        <w:rPr>
          <w:b/>
          <w:bCs/>
        </w:rPr>
      </w:pPr>
    </w:p>
    <w:p w14:paraId="34DEA240" w14:textId="2CFB3073" w:rsidR="00B76E92" w:rsidRDefault="00B76E92" w:rsidP="00B76E92">
      <w:pPr>
        <w:spacing w:after="0" w:line="240" w:lineRule="auto"/>
        <w:rPr>
          <w:b/>
          <w:bCs/>
        </w:rPr>
      </w:pPr>
      <w:r>
        <w:rPr>
          <w:b/>
          <w:bCs/>
        </w:rPr>
        <w:t xml:space="preserve">It is critical that the anticipated award type is correct as it will affect the need to collect COI disclosure through KCOI. It is also important to complete the KR Key Personnel Tab as instructed per this guidance as this also affects COI. </w:t>
      </w:r>
    </w:p>
    <w:p w14:paraId="6B68C93F" w14:textId="77777777" w:rsidR="00B76E92" w:rsidRPr="007C103F" w:rsidRDefault="00B76E92" w:rsidP="00B76E92">
      <w:pPr>
        <w:spacing w:after="0" w:line="240" w:lineRule="auto"/>
        <w:rPr>
          <w:b/>
          <w:bCs/>
        </w:rPr>
      </w:pPr>
    </w:p>
    <w:p w14:paraId="2DFD581F" w14:textId="77777777" w:rsidR="00B76E92" w:rsidRPr="007C103F" w:rsidRDefault="00B76E92" w:rsidP="00B76E92">
      <w:pPr>
        <w:spacing w:after="0" w:line="240" w:lineRule="auto"/>
        <w:rPr>
          <w:b/>
          <w:bCs/>
        </w:rPr>
      </w:pPr>
      <w:r w:rsidRPr="007C103F">
        <w:rPr>
          <w:b/>
          <w:bCs/>
        </w:rPr>
        <w:t>To receive an IDC Exemption for a rate lower than the Federally negotiated rate, the following criteria must be met:</w:t>
      </w:r>
    </w:p>
    <w:p w14:paraId="6B2A55D5" w14:textId="77777777" w:rsidR="00B76E92" w:rsidRPr="007C103F" w:rsidRDefault="00B76E92" w:rsidP="00B76E92">
      <w:pPr>
        <w:spacing w:after="0" w:line="240" w:lineRule="auto"/>
      </w:pPr>
      <w:r w:rsidRPr="007C103F">
        <w:t>1) Written sponsor policy</w:t>
      </w:r>
      <w:r>
        <w:t>.</w:t>
      </w:r>
    </w:p>
    <w:p w14:paraId="522BAB89" w14:textId="77777777" w:rsidR="00B76E92" w:rsidRDefault="00B76E92" w:rsidP="00B76E92">
      <w:pPr>
        <w:spacing w:after="0" w:line="240" w:lineRule="auto"/>
      </w:pPr>
      <w:r w:rsidRPr="007C103F">
        <w:t>2) All terms are limited and appropriate for a fellowship; these include but are not limited to:</w:t>
      </w:r>
    </w:p>
    <w:p w14:paraId="70609AFB" w14:textId="77777777" w:rsidR="00B76E92" w:rsidRDefault="00B76E92" w:rsidP="00B76E92">
      <w:pPr>
        <w:spacing w:after="0" w:line="240" w:lineRule="auto"/>
        <w:ind w:firstLine="720"/>
      </w:pPr>
      <w:r w:rsidRPr="007C103F">
        <w:t>(a) Intellectual Property and Rights in Data should remain silent. If included, confirm that the fellow has signed the Patent Acknowledgement. UC must retain ownership of all inventions and data.</w:t>
      </w:r>
      <w:r>
        <w:t xml:space="preserve"> </w:t>
      </w:r>
      <w:r w:rsidRPr="007C103F">
        <w:t>No licensing terms should be included.</w:t>
      </w:r>
    </w:p>
    <w:p w14:paraId="452684D2" w14:textId="77777777" w:rsidR="00B76E92" w:rsidRDefault="00B76E92" w:rsidP="00B76E92">
      <w:pPr>
        <w:spacing w:after="0" w:line="240" w:lineRule="auto"/>
        <w:ind w:firstLine="720"/>
      </w:pPr>
      <w:r w:rsidRPr="007C103F">
        <w:t>(b) Publications: Should remain silent.  If included, must maintain full freedom to publish, no restrictions.</w:t>
      </w:r>
    </w:p>
    <w:p w14:paraId="71C24D05" w14:textId="77777777" w:rsidR="00B76E92" w:rsidRDefault="00B76E92" w:rsidP="00B76E92">
      <w:pPr>
        <w:spacing w:after="0" w:line="240" w:lineRule="auto"/>
      </w:pPr>
      <w:r w:rsidRPr="007C103F">
        <w:t>3) Does not require specific deliverables other than final activity and financial reports. Final activity report should not require the delivery of data to the company (which would push the intent to research, not fellowship).</w:t>
      </w:r>
    </w:p>
    <w:p w14:paraId="4611A5C3" w14:textId="77777777" w:rsidR="00B76E92" w:rsidRPr="0044172B" w:rsidRDefault="00B76E92" w:rsidP="00B76E92">
      <w:pPr>
        <w:spacing w:after="0" w:line="240" w:lineRule="auto"/>
        <w:rPr>
          <w:b/>
          <w:bCs/>
          <w:color w:val="FF0000"/>
        </w:rPr>
      </w:pPr>
    </w:p>
    <w:p w14:paraId="2E1107E0" w14:textId="77777777" w:rsidR="00B76E92" w:rsidRPr="0044172B" w:rsidRDefault="00B76E92" w:rsidP="00B76E92">
      <w:pPr>
        <w:spacing w:after="0" w:line="240" w:lineRule="auto"/>
        <w:rPr>
          <w:b/>
          <w:bCs/>
        </w:rPr>
      </w:pPr>
      <w:r w:rsidRPr="0044172B">
        <w:rPr>
          <w:b/>
          <w:bCs/>
        </w:rPr>
        <w:t>Resources:</w:t>
      </w:r>
    </w:p>
    <w:p w14:paraId="5E67F4A4" w14:textId="77777777" w:rsidR="00B76E92" w:rsidRDefault="00B76E92" w:rsidP="00B76E92">
      <w:pPr>
        <w:spacing w:after="0" w:line="240" w:lineRule="auto"/>
        <w:rPr>
          <w:rStyle w:val="Hyperlink"/>
        </w:rPr>
      </w:pPr>
      <w:r w:rsidRPr="0044172B">
        <w:t>Fellowship Overview</w:t>
      </w:r>
      <w:r>
        <w:t xml:space="preserve">: </w:t>
      </w:r>
      <w:hyperlink r:id="rId6" w:history="1">
        <w:r w:rsidRPr="00CC0BCA">
          <w:rPr>
            <w:rStyle w:val="Hyperlink"/>
          </w:rPr>
          <w:t>https://blink.ucsd.edu/sponsor/ocga/guide/sponsored-research/fellowships.html</w:t>
        </w:r>
      </w:hyperlink>
    </w:p>
    <w:p w14:paraId="5521105E" w14:textId="77777777" w:rsidR="00B76E92" w:rsidRPr="0044172B" w:rsidRDefault="00B76E92" w:rsidP="00B76E92">
      <w:pPr>
        <w:spacing w:after="0" w:line="240" w:lineRule="auto"/>
      </w:pPr>
    </w:p>
    <w:p w14:paraId="707DC95A" w14:textId="77777777" w:rsidR="00B76E92" w:rsidRDefault="00B76E92" w:rsidP="00B76E92">
      <w:pPr>
        <w:spacing w:after="0" w:line="240" w:lineRule="auto"/>
        <w:rPr>
          <w:rStyle w:val="Hyperlink"/>
        </w:rPr>
      </w:pPr>
      <w:r w:rsidRPr="0044172B">
        <w:lastRenderedPageBreak/>
        <w:t>Entering into KRPD</w:t>
      </w:r>
      <w:r>
        <w:t xml:space="preserve">: </w:t>
      </w:r>
      <w:hyperlink r:id="rId7" w:anchor="Building-Your-Kuali-Research-Re" w:history="1">
        <w:r w:rsidRPr="00CC0BCA">
          <w:rPr>
            <w:rStyle w:val="Hyperlink"/>
          </w:rPr>
          <w:t>https://blink.ucsd.edu/sponsor/ocga/guide/sponsored-research/fellowships.html#Building-Your-Kuali-Research-Re</w:t>
        </w:r>
      </w:hyperlink>
    </w:p>
    <w:p w14:paraId="24A26E6B" w14:textId="77777777" w:rsidR="00B76E92" w:rsidRPr="0044172B" w:rsidRDefault="00B76E92" w:rsidP="00B76E92">
      <w:pPr>
        <w:spacing w:after="0" w:line="240" w:lineRule="auto"/>
      </w:pPr>
    </w:p>
    <w:p w14:paraId="0672C7EE" w14:textId="77777777" w:rsidR="00B76E92" w:rsidRPr="0044172B" w:rsidRDefault="00B76E92" w:rsidP="00B76E92">
      <w:pPr>
        <w:spacing w:after="0" w:line="240" w:lineRule="auto"/>
      </w:pPr>
      <w:r w:rsidRPr="0044172B">
        <w:t>Knowledge Base Article (KBA)</w:t>
      </w:r>
      <w:r>
        <w:t xml:space="preserve">: </w:t>
      </w:r>
      <w:hyperlink r:id="rId8" w:history="1">
        <w:r w:rsidRPr="00CC0BCA">
          <w:rPr>
            <w:rStyle w:val="Hyperlink"/>
          </w:rPr>
          <w:t>https://support.ucsd.edu/research?id=kb_article_view&amp;sys_kb_id=9a3063341b5e0d10506f64e8624bcb7f</w:t>
        </w:r>
      </w:hyperlink>
    </w:p>
    <w:p w14:paraId="3EB7EDF6" w14:textId="77777777" w:rsidR="00B76E92" w:rsidRDefault="00B76E92" w:rsidP="0044172B">
      <w:pPr>
        <w:spacing w:line="240" w:lineRule="auto"/>
      </w:pPr>
    </w:p>
    <w:sectPr w:rsidR="00B76E92" w:rsidSect="007C103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5955" w14:textId="77777777" w:rsidR="00064A66" w:rsidRDefault="00064A66" w:rsidP="00B76E92">
      <w:pPr>
        <w:spacing w:after="0" w:line="240" w:lineRule="auto"/>
      </w:pPr>
      <w:r>
        <w:separator/>
      </w:r>
    </w:p>
  </w:endnote>
  <w:endnote w:type="continuationSeparator" w:id="0">
    <w:p w14:paraId="18A8663C" w14:textId="77777777" w:rsidR="00064A66" w:rsidRDefault="00064A66" w:rsidP="00B7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6A14" w14:textId="77777777" w:rsidR="00064A66" w:rsidRDefault="00064A66" w:rsidP="00B76E92">
      <w:pPr>
        <w:spacing w:after="0" w:line="240" w:lineRule="auto"/>
      </w:pPr>
      <w:r>
        <w:separator/>
      </w:r>
    </w:p>
  </w:footnote>
  <w:footnote w:type="continuationSeparator" w:id="0">
    <w:p w14:paraId="55BF8B30" w14:textId="77777777" w:rsidR="00064A66" w:rsidRDefault="00064A66" w:rsidP="00B7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8BD6" w14:textId="6D52AF24" w:rsidR="00B76E92" w:rsidRDefault="00B76E92">
    <w:pPr>
      <w:pStyle w:val="Header"/>
    </w:pPr>
    <w:r>
      <w:rPr>
        <w:noProof/>
      </w:rPr>
      <w:drawing>
        <wp:inline distT="0" distB="0" distL="0" distR="0" wp14:anchorId="17BECA1C" wp14:editId="0443AF07">
          <wp:extent cx="2543175" cy="666750"/>
          <wp:effectExtent l="0" t="0" r="9525" b="0"/>
          <wp:docPr id="1800081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66750"/>
                  </a:xfrm>
                  <a:prstGeom prst="rect">
                    <a:avLst/>
                  </a:prstGeom>
                  <a:noFill/>
                  <a:ln>
                    <a:noFill/>
                  </a:ln>
                </pic:spPr>
              </pic:pic>
            </a:graphicData>
          </a:graphic>
        </wp:inline>
      </w:drawing>
    </w:r>
    <w:r>
      <w:tab/>
    </w:r>
    <w:r>
      <w:tab/>
    </w:r>
    <w:r>
      <w:rPr>
        <w:rStyle w:val="normaltextrun"/>
        <w:rFonts w:ascii="Calibri" w:hAnsi="Calibri" w:cs="Calibri"/>
        <w:color w:val="000000"/>
        <w:shd w:val="clear" w:color="auto" w:fill="FFFFFF"/>
      </w:rPr>
      <w:t>Last Revision: 10/1/2024</w:t>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3F"/>
    <w:rsid w:val="00044179"/>
    <w:rsid w:val="00064A66"/>
    <w:rsid w:val="003121D2"/>
    <w:rsid w:val="0044172B"/>
    <w:rsid w:val="0055629C"/>
    <w:rsid w:val="007C103F"/>
    <w:rsid w:val="00910222"/>
    <w:rsid w:val="00B76E92"/>
    <w:rsid w:val="00D4411D"/>
    <w:rsid w:val="00E9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9E4E"/>
  <w15:chartTrackingRefBased/>
  <w15:docId w15:val="{4CF12E1B-6B20-4DE0-B337-673B9B1B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72B"/>
    <w:rPr>
      <w:color w:val="0563C1"/>
      <w:u w:val="single"/>
    </w:rPr>
  </w:style>
  <w:style w:type="character" w:styleId="UnresolvedMention">
    <w:name w:val="Unresolved Mention"/>
    <w:basedOn w:val="DefaultParagraphFont"/>
    <w:uiPriority w:val="99"/>
    <w:semiHidden/>
    <w:unhideWhenUsed/>
    <w:rsid w:val="0044172B"/>
    <w:rPr>
      <w:color w:val="605E5C"/>
      <w:shd w:val="clear" w:color="auto" w:fill="E1DFDD"/>
    </w:rPr>
  </w:style>
  <w:style w:type="character" w:styleId="CommentReference">
    <w:name w:val="annotation reference"/>
    <w:basedOn w:val="DefaultParagraphFont"/>
    <w:uiPriority w:val="99"/>
    <w:semiHidden/>
    <w:unhideWhenUsed/>
    <w:rsid w:val="00E95026"/>
    <w:rPr>
      <w:sz w:val="16"/>
      <w:szCs w:val="16"/>
    </w:rPr>
  </w:style>
  <w:style w:type="paragraph" w:styleId="CommentText">
    <w:name w:val="annotation text"/>
    <w:basedOn w:val="Normal"/>
    <w:link w:val="CommentTextChar"/>
    <w:uiPriority w:val="99"/>
    <w:unhideWhenUsed/>
    <w:rsid w:val="00E95026"/>
    <w:pPr>
      <w:spacing w:line="240" w:lineRule="auto"/>
    </w:pPr>
    <w:rPr>
      <w:sz w:val="20"/>
      <w:szCs w:val="20"/>
    </w:rPr>
  </w:style>
  <w:style w:type="character" w:customStyle="1" w:styleId="CommentTextChar">
    <w:name w:val="Comment Text Char"/>
    <w:basedOn w:val="DefaultParagraphFont"/>
    <w:link w:val="CommentText"/>
    <w:uiPriority w:val="99"/>
    <w:rsid w:val="00E95026"/>
    <w:rPr>
      <w:sz w:val="20"/>
      <w:szCs w:val="20"/>
    </w:rPr>
  </w:style>
  <w:style w:type="paragraph" w:styleId="CommentSubject">
    <w:name w:val="annotation subject"/>
    <w:basedOn w:val="CommentText"/>
    <w:next w:val="CommentText"/>
    <w:link w:val="CommentSubjectChar"/>
    <w:uiPriority w:val="99"/>
    <w:semiHidden/>
    <w:unhideWhenUsed/>
    <w:rsid w:val="00E95026"/>
    <w:rPr>
      <w:b/>
      <w:bCs/>
    </w:rPr>
  </w:style>
  <w:style w:type="character" w:customStyle="1" w:styleId="CommentSubjectChar">
    <w:name w:val="Comment Subject Char"/>
    <w:basedOn w:val="CommentTextChar"/>
    <w:link w:val="CommentSubject"/>
    <w:uiPriority w:val="99"/>
    <w:semiHidden/>
    <w:rsid w:val="00E95026"/>
    <w:rPr>
      <w:b/>
      <w:bCs/>
      <w:sz w:val="20"/>
      <w:szCs w:val="20"/>
    </w:rPr>
  </w:style>
  <w:style w:type="paragraph" w:styleId="Header">
    <w:name w:val="header"/>
    <w:basedOn w:val="Normal"/>
    <w:link w:val="HeaderChar"/>
    <w:uiPriority w:val="99"/>
    <w:unhideWhenUsed/>
    <w:rsid w:val="00B7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92"/>
  </w:style>
  <w:style w:type="paragraph" w:styleId="Footer">
    <w:name w:val="footer"/>
    <w:basedOn w:val="Normal"/>
    <w:link w:val="FooterChar"/>
    <w:uiPriority w:val="99"/>
    <w:unhideWhenUsed/>
    <w:rsid w:val="00B7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92"/>
  </w:style>
  <w:style w:type="character" w:customStyle="1" w:styleId="normaltextrun">
    <w:name w:val="normaltextrun"/>
    <w:basedOn w:val="DefaultParagraphFont"/>
    <w:rsid w:val="00B76E92"/>
  </w:style>
  <w:style w:type="character" w:customStyle="1" w:styleId="eop">
    <w:name w:val="eop"/>
    <w:basedOn w:val="DefaultParagraphFont"/>
    <w:rsid w:val="00B7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102">
      <w:bodyDiv w:val="1"/>
      <w:marLeft w:val="0"/>
      <w:marRight w:val="0"/>
      <w:marTop w:val="0"/>
      <w:marBottom w:val="0"/>
      <w:divBdr>
        <w:top w:val="none" w:sz="0" w:space="0" w:color="auto"/>
        <w:left w:val="none" w:sz="0" w:space="0" w:color="auto"/>
        <w:bottom w:val="none" w:sz="0" w:space="0" w:color="auto"/>
        <w:right w:val="none" w:sz="0" w:space="0" w:color="auto"/>
      </w:divBdr>
    </w:div>
    <w:div w:id="113451398">
      <w:bodyDiv w:val="1"/>
      <w:marLeft w:val="0"/>
      <w:marRight w:val="0"/>
      <w:marTop w:val="0"/>
      <w:marBottom w:val="0"/>
      <w:divBdr>
        <w:top w:val="none" w:sz="0" w:space="0" w:color="auto"/>
        <w:left w:val="none" w:sz="0" w:space="0" w:color="auto"/>
        <w:bottom w:val="none" w:sz="0" w:space="0" w:color="auto"/>
        <w:right w:val="none" w:sz="0" w:space="0" w:color="auto"/>
      </w:divBdr>
    </w:div>
    <w:div w:id="129830456">
      <w:bodyDiv w:val="1"/>
      <w:marLeft w:val="0"/>
      <w:marRight w:val="0"/>
      <w:marTop w:val="0"/>
      <w:marBottom w:val="0"/>
      <w:divBdr>
        <w:top w:val="none" w:sz="0" w:space="0" w:color="auto"/>
        <w:left w:val="none" w:sz="0" w:space="0" w:color="auto"/>
        <w:bottom w:val="none" w:sz="0" w:space="0" w:color="auto"/>
        <w:right w:val="none" w:sz="0" w:space="0" w:color="auto"/>
      </w:divBdr>
    </w:div>
    <w:div w:id="281615442">
      <w:bodyDiv w:val="1"/>
      <w:marLeft w:val="0"/>
      <w:marRight w:val="0"/>
      <w:marTop w:val="0"/>
      <w:marBottom w:val="0"/>
      <w:divBdr>
        <w:top w:val="none" w:sz="0" w:space="0" w:color="auto"/>
        <w:left w:val="none" w:sz="0" w:space="0" w:color="auto"/>
        <w:bottom w:val="none" w:sz="0" w:space="0" w:color="auto"/>
        <w:right w:val="none" w:sz="0" w:space="0" w:color="auto"/>
      </w:divBdr>
    </w:div>
    <w:div w:id="284315227">
      <w:bodyDiv w:val="1"/>
      <w:marLeft w:val="0"/>
      <w:marRight w:val="0"/>
      <w:marTop w:val="0"/>
      <w:marBottom w:val="0"/>
      <w:divBdr>
        <w:top w:val="none" w:sz="0" w:space="0" w:color="auto"/>
        <w:left w:val="none" w:sz="0" w:space="0" w:color="auto"/>
        <w:bottom w:val="none" w:sz="0" w:space="0" w:color="auto"/>
        <w:right w:val="none" w:sz="0" w:space="0" w:color="auto"/>
      </w:divBdr>
    </w:div>
    <w:div w:id="318385955">
      <w:bodyDiv w:val="1"/>
      <w:marLeft w:val="0"/>
      <w:marRight w:val="0"/>
      <w:marTop w:val="0"/>
      <w:marBottom w:val="0"/>
      <w:divBdr>
        <w:top w:val="none" w:sz="0" w:space="0" w:color="auto"/>
        <w:left w:val="none" w:sz="0" w:space="0" w:color="auto"/>
        <w:bottom w:val="none" w:sz="0" w:space="0" w:color="auto"/>
        <w:right w:val="none" w:sz="0" w:space="0" w:color="auto"/>
      </w:divBdr>
    </w:div>
    <w:div w:id="333342965">
      <w:bodyDiv w:val="1"/>
      <w:marLeft w:val="0"/>
      <w:marRight w:val="0"/>
      <w:marTop w:val="0"/>
      <w:marBottom w:val="0"/>
      <w:divBdr>
        <w:top w:val="none" w:sz="0" w:space="0" w:color="auto"/>
        <w:left w:val="none" w:sz="0" w:space="0" w:color="auto"/>
        <w:bottom w:val="none" w:sz="0" w:space="0" w:color="auto"/>
        <w:right w:val="none" w:sz="0" w:space="0" w:color="auto"/>
      </w:divBdr>
    </w:div>
    <w:div w:id="383261795">
      <w:bodyDiv w:val="1"/>
      <w:marLeft w:val="0"/>
      <w:marRight w:val="0"/>
      <w:marTop w:val="0"/>
      <w:marBottom w:val="0"/>
      <w:divBdr>
        <w:top w:val="none" w:sz="0" w:space="0" w:color="auto"/>
        <w:left w:val="none" w:sz="0" w:space="0" w:color="auto"/>
        <w:bottom w:val="none" w:sz="0" w:space="0" w:color="auto"/>
        <w:right w:val="none" w:sz="0" w:space="0" w:color="auto"/>
      </w:divBdr>
    </w:div>
    <w:div w:id="1284460976">
      <w:bodyDiv w:val="1"/>
      <w:marLeft w:val="0"/>
      <w:marRight w:val="0"/>
      <w:marTop w:val="0"/>
      <w:marBottom w:val="0"/>
      <w:divBdr>
        <w:top w:val="none" w:sz="0" w:space="0" w:color="auto"/>
        <w:left w:val="none" w:sz="0" w:space="0" w:color="auto"/>
        <w:bottom w:val="none" w:sz="0" w:space="0" w:color="auto"/>
        <w:right w:val="none" w:sz="0" w:space="0" w:color="auto"/>
      </w:divBdr>
    </w:div>
    <w:div w:id="1409116737">
      <w:bodyDiv w:val="1"/>
      <w:marLeft w:val="0"/>
      <w:marRight w:val="0"/>
      <w:marTop w:val="0"/>
      <w:marBottom w:val="0"/>
      <w:divBdr>
        <w:top w:val="none" w:sz="0" w:space="0" w:color="auto"/>
        <w:left w:val="none" w:sz="0" w:space="0" w:color="auto"/>
        <w:bottom w:val="none" w:sz="0" w:space="0" w:color="auto"/>
        <w:right w:val="none" w:sz="0" w:space="0" w:color="auto"/>
      </w:divBdr>
    </w:div>
    <w:div w:id="1576085357">
      <w:bodyDiv w:val="1"/>
      <w:marLeft w:val="0"/>
      <w:marRight w:val="0"/>
      <w:marTop w:val="0"/>
      <w:marBottom w:val="0"/>
      <w:divBdr>
        <w:top w:val="none" w:sz="0" w:space="0" w:color="auto"/>
        <w:left w:val="none" w:sz="0" w:space="0" w:color="auto"/>
        <w:bottom w:val="none" w:sz="0" w:space="0" w:color="auto"/>
        <w:right w:val="none" w:sz="0" w:space="0" w:color="auto"/>
      </w:divBdr>
    </w:div>
    <w:div w:id="16881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ucsd.edu/research?id=kb_article_view&amp;sys_kb_id=9a3063341b5e0d10506f64e8624bcb7f" TargetMode="External"/><Relationship Id="rId3" Type="http://schemas.openxmlformats.org/officeDocument/2006/relationships/webSettings" Target="webSettings.xml"/><Relationship Id="rId7" Type="http://schemas.openxmlformats.org/officeDocument/2006/relationships/hyperlink" Target="https://blink.ucsd.edu/sponsor/ocga/guide/sponsored-research/fellowship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ink.ucsd.edu/sponsor/ocga/guide/sponsored-research/fellowship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 San Diego</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 Nichole</dc:creator>
  <cp:keywords/>
  <dc:description/>
  <cp:lastModifiedBy>Moore, Andrea</cp:lastModifiedBy>
  <cp:revision>2</cp:revision>
  <dcterms:created xsi:type="dcterms:W3CDTF">2024-10-03T15:52:00Z</dcterms:created>
  <dcterms:modified xsi:type="dcterms:W3CDTF">2024-10-03T15:52:00Z</dcterms:modified>
</cp:coreProperties>
</file>