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0C8A" w:rsidRDefault="00AD65DB">
      <w:pPr>
        <w:pStyle w:val="Heading2"/>
        <w:ind w:firstLine="0"/>
        <w:jc w:val="cente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-731520</wp:posOffset>
                </wp:positionV>
                <wp:extent cx="182880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C8A" w:rsidRDefault="008D0C8A">
                            <w:pPr>
                              <w:rPr>
                                <w:vanish/>
                                <w:color w:val="FF00FF"/>
                              </w:rPr>
                            </w:pPr>
                            <w:r>
                              <w:rPr>
                                <w:vanish/>
                                <w:color w:val="FF00FF"/>
                              </w:rPr>
                              <w:t>This letter is open for staff to alter &amp; implement as appropropriate.</w:t>
                            </w:r>
                          </w:p>
                          <w:p w:rsidR="008D0C8A" w:rsidRDefault="008D0C8A">
                            <w:pPr>
                              <w:rPr>
                                <w:vanish/>
                                <w:color w:val="FF00FF"/>
                              </w:rPr>
                            </w:pPr>
                          </w:p>
                          <w:p w:rsidR="008D0C8A" w:rsidRDefault="008D0C8A">
                            <w:pPr>
                              <w:rPr>
                                <w:vanish/>
                                <w:color w:val="FF00FF"/>
                              </w:rPr>
                            </w:pPr>
                            <w:r>
                              <w:rPr>
                                <w:vanish/>
                                <w:color w:val="FF00FF"/>
                              </w:rPr>
                              <w:t>The Board reviewed the letter in 12/98 but approval was not sought.</w:t>
                            </w:r>
                          </w:p>
                          <w:p w:rsidR="008D0C8A" w:rsidRDefault="008D0C8A">
                            <w:pPr>
                              <w:rPr>
                                <w:vanish/>
                                <w:color w:val="FF00FF"/>
                              </w:rPr>
                            </w:pPr>
                          </w:p>
                          <w:p w:rsidR="008D0C8A" w:rsidRDefault="008D0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5in;margin-top:-57.6pt;width:2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XK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" o:allowincell="f" filled="f" stroked="f">
                <v:textbox>
                  <w:txbxContent>
                    <w:p w:rsidR="008D0C8A" w:rsidRDefault="008D0C8A">
                      <w:pPr>
                        <w:rPr>
                          <w:vanish/>
                          <w:color w:val="FF00FF"/>
                        </w:rPr>
                      </w:pPr>
                      <w:r>
                        <w:rPr>
                          <w:vanish/>
                          <w:color w:val="FF00FF"/>
                        </w:rPr>
                        <w:t>This letter is open for staff to alter &amp; implement as appropropriate.</w:t>
                      </w:r>
                    </w:p>
                    <w:p w:rsidR="008D0C8A" w:rsidRDefault="008D0C8A">
                      <w:pPr>
                        <w:rPr>
                          <w:vanish/>
                          <w:color w:val="FF00FF"/>
                        </w:rPr>
                      </w:pPr>
                    </w:p>
                    <w:p w:rsidR="008D0C8A" w:rsidRDefault="008D0C8A">
                      <w:pPr>
                        <w:rPr>
                          <w:vanish/>
                          <w:color w:val="FF00FF"/>
                        </w:rPr>
                      </w:pPr>
                      <w:r>
                        <w:rPr>
                          <w:vanish/>
                          <w:color w:val="FF00FF"/>
                        </w:rPr>
                        <w:t>The Board reviewed the letter in 12/98 but approval was not sought.</w:t>
                      </w:r>
                    </w:p>
                    <w:p w:rsidR="008D0C8A" w:rsidRDefault="008D0C8A">
                      <w:pPr>
                        <w:rPr>
                          <w:vanish/>
                          <w:color w:val="FF00FF"/>
                        </w:rPr>
                      </w:pPr>
                    </w:p>
                    <w:p w:rsidR="008D0C8A" w:rsidRDefault="008D0C8A"/>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4937760</wp:posOffset>
                </wp:positionH>
                <wp:positionV relativeFrom="paragraph">
                  <wp:posOffset>-548640</wp:posOffset>
                </wp:positionV>
                <wp:extent cx="128016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8A" w:rsidRDefault="008D0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388.8pt;margin-top:-43.2pt;width:10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92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" o:allowincell="f" stroked="f">
                <v:textbox>
                  <w:txbxContent>
                    <w:p w:rsidR="008D0C8A" w:rsidRDefault="008D0C8A"/>
                  </w:txbxContent>
                </v:textbox>
              </v:shape>
            </w:pict>
          </mc:Fallback>
        </mc:AlternateContent>
      </w:r>
      <w:r w:rsidR="008D0C8A">
        <w:rPr>
          <w:b/>
        </w:rPr>
        <w:t xml:space="preserve">UC </w:t>
      </w:r>
      <w:smartTag w:uri="urn:schemas-microsoft-com:office:smarttags" w:element="City">
        <w:smartTag w:uri="urn:schemas-microsoft-com:office:smarttags" w:element="place">
          <w:r w:rsidR="008D0C8A">
            <w:rPr>
              <w:b/>
            </w:rPr>
            <w:t>San Diego</w:t>
          </w:r>
        </w:smartTag>
      </w:smartTag>
      <w:r w:rsidR="008D0C8A">
        <w:rPr>
          <w:b/>
        </w:rPr>
        <w:t xml:space="preserve"> Foundation</w:t>
      </w:r>
    </w:p>
    <w:p w:rsidR="008D0C8A" w:rsidRDefault="008D0C8A">
      <w:pPr>
        <w:pStyle w:val="Heading2"/>
        <w:ind w:firstLine="0"/>
        <w:jc w:val="center"/>
        <w:rPr>
          <w:b/>
        </w:rPr>
      </w:pPr>
      <w:r>
        <w:rPr>
          <w:b/>
        </w:rPr>
        <w:t>Donor Advised Fund Agreement</w:t>
      </w:r>
    </w:p>
    <w:p w:rsidR="008D0C8A" w:rsidRDefault="008D0C8A"/>
    <w:p w:rsidR="008D0C8A" w:rsidRDefault="008D0C8A">
      <w:pPr>
        <w:spacing w:line="264" w:lineRule="auto"/>
      </w:pPr>
    </w:p>
    <w:p w:rsidR="008D0C8A" w:rsidRDefault="008D0C8A">
      <w:pPr>
        <w:spacing w:line="264" w:lineRule="auto"/>
      </w:pPr>
      <w:r>
        <w:t xml:space="preserve">This Donor Advised Fund (“DAF”) Agreement is made on  </w:t>
      </w:r>
      <w:r>
        <w:rPr>
          <w:u w:val="single"/>
        </w:rPr>
        <w:t xml:space="preserve">[insert date]  </w:t>
      </w:r>
      <w:r>
        <w:t xml:space="preserve">between </w:t>
      </w:r>
      <w:r w:rsidR="003D700E">
        <w:t>___________</w:t>
      </w:r>
      <w:r>
        <w:t xml:space="preserve"> (“Donor(s)”), and the UC San Diego Foundation (“Foundation”), a not-for-profit charity exempt from taxation under section 501(c)(3) of the Internal Revenue Code (IRC), operating as an organization de</w:t>
      </w:r>
      <w:r w:rsidR="00417AD3">
        <w:t>fined under IRC section 509(a)(1</w:t>
      </w:r>
      <w:r>
        <w:t>).  The Foundation, by resolution of its Board of Trustees, has approved a DAF Policy.</w:t>
      </w:r>
    </w:p>
    <w:p w:rsidR="008D0C8A" w:rsidRDefault="008D0C8A">
      <w:pPr>
        <w:pStyle w:val="Heading4"/>
        <w:numPr>
          <w:ilvl w:val="0"/>
          <w:numId w:val="3"/>
        </w:numPr>
        <w:spacing w:before="480" w:line="264" w:lineRule="auto"/>
        <w:rPr>
          <w:rFonts w:ascii="Times New Roman" w:hAnsi="Times New Roman"/>
          <w:b/>
        </w:rPr>
      </w:pPr>
      <w:r>
        <w:rPr>
          <w:rFonts w:ascii="Times New Roman" w:hAnsi="Times New Roman"/>
          <w:b/>
        </w:rPr>
        <w:t>Gifts and DAF Creation</w:t>
      </w:r>
    </w:p>
    <w:p w:rsidR="008D0C8A" w:rsidRDefault="008D0C8A">
      <w:pPr>
        <w:spacing w:before="240" w:line="264" w:lineRule="auto"/>
      </w:pPr>
      <w:r>
        <w:t xml:space="preserve">The Donor(s) hereby irrevocably contribute(s) to the Foundation $_____________ (or the property as described in Attachment A) as the initial contribution to a DAF.  This gift value is equal to or greater than the minimum required DAF initial contribution amount of $50,000, </w:t>
      </w:r>
      <w:r>
        <w:rPr>
          <w:spacing w:val="-2"/>
        </w:rPr>
        <w:t>and does not contain a quid pro quo (value received in return) component.  The DAF created by</w:t>
      </w:r>
      <w:r>
        <w:t xml:space="preserve"> </w:t>
      </w:r>
      <w:r w:rsidR="007756F5">
        <w:t>this gift is to be entitled “</w:t>
      </w:r>
      <w:r w:rsidR="003D700E">
        <w:t>[DONOR NAME]</w:t>
      </w:r>
      <w:r w:rsidR="00FF550D">
        <w:t xml:space="preserve"> </w:t>
      </w:r>
      <w:r w:rsidR="007756F5">
        <w:t>Donor Advised Fund”</w:t>
      </w:r>
      <w:r>
        <w:t>.  Additional gifts may be made to the DAF, subject to the gift acceptance policies of the Foundation.</w:t>
      </w:r>
    </w:p>
    <w:p w:rsidR="008D0C8A" w:rsidRDefault="008D0C8A">
      <w:pPr>
        <w:pStyle w:val="Heading4"/>
        <w:numPr>
          <w:ilvl w:val="0"/>
          <w:numId w:val="3"/>
        </w:numPr>
        <w:spacing w:before="480" w:line="264" w:lineRule="auto"/>
        <w:rPr>
          <w:rFonts w:ascii="Times New Roman" w:hAnsi="Times New Roman"/>
          <w:b/>
        </w:rPr>
      </w:pPr>
      <w:r>
        <w:rPr>
          <w:rFonts w:ascii="Times New Roman" w:hAnsi="Times New Roman"/>
          <w:b/>
        </w:rPr>
        <w:t>DAF Administration</w:t>
      </w:r>
    </w:p>
    <w:p w:rsidR="008D0C8A" w:rsidRDefault="008D0C8A" w:rsidP="008E005F">
      <w:pPr>
        <w:pStyle w:val="Heading4"/>
        <w:spacing w:before="240" w:line="264" w:lineRule="auto"/>
        <w:rPr>
          <w:rFonts w:ascii="Times New Roman" w:hAnsi="Times New Roman"/>
          <w:b/>
          <w:u w:val="single"/>
        </w:rPr>
      </w:pPr>
      <w:r>
        <w:rPr>
          <w:rFonts w:ascii="Times New Roman" w:hAnsi="Times New Roman"/>
          <w:b/>
          <w:u w:val="single"/>
        </w:rPr>
        <w:t>Fund Type and Investment</w:t>
      </w:r>
    </w:p>
    <w:p w:rsidR="008D0C8A" w:rsidRDefault="008D0C8A" w:rsidP="008E005F">
      <w:pPr>
        <w:pStyle w:val="BodyTextIndent2"/>
        <w:spacing w:before="120" w:line="264" w:lineRule="auto"/>
        <w:ind w:left="0"/>
      </w:pPr>
      <w:r>
        <w:t xml:space="preserve">The assets of DAFs will be commingled for investment purposes and invested in the common investment pools of the Foundation according to fund type and governing investment policy. </w:t>
      </w:r>
    </w:p>
    <w:p w:rsidR="008D0C8A" w:rsidRDefault="008D0C8A">
      <w:pPr>
        <w:pStyle w:val="BodyTextIndent2"/>
        <w:spacing w:before="120"/>
        <w:ind w:left="0"/>
      </w:pPr>
      <w:r>
        <w:t>The fund type to be created for this DAF is (check one):</w:t>
      </w:r>
    </w:p>
    <w:p w:rsidR="008D0C8A" w:rsidRPr="008E005F" w:rsidRDefault="00135196">
      <w:pPr>
        <w:numPr>
          <w:ilvl w:val="0"/>
          <w:numId w:val="2"/>
        </w:numPr>
        <w:spacing w:before="240" w:line="288" w:lineRule="auto"/>
        <w:rPr>
          <w:b/>
        </w:rPr>
      </w:pPr>
      <w:r w:rsidRPr="008E005F">
        <w:rPr>
          <w:b/>
        </w:rPr>
        <w:t xml:space="preserve">Fully </w:t>
      </w:r>
      <w:r w:rsidR="008D0C8A" w:rsidRPr="008E005F">
        <w:rPr>
          <w:b/>
        </w:rPr>
        <w:t>Expendable</w:t>
      </w:r>
    </w:p>
    <w:p w:rsidR="00FF550D" w:rsidRDefault="008D0C8A" w:rsidP="00FF550D">
      <w:pPr>
        <w:pStyle w:val="BodyTextIndent"/>
        <w:spacing w:before="240" w:line="288" w:lineRule="auto"/>
        <w:rPr>
          <w:rFonts w:ascii="Times New Roman" w:hAnsi="Times New Roman"/>
        </w:rPr>
      </w:pPr>
      <w:r>
        <w:rPr>
          <w:rFonts w:ascii="Times New Roman" w:hAnsi="Times New Roman"/>
        </w:rPr>
        <w:t>Expendable funds are invested and administered in accordance with the Foundation’s Current Funds Investment and Payout Policy</w:t>
      </w:r>
      <w:r w:rsidR="00FF550D">
        <w:rPr>
          <w:rFonts w:ascii="Times New Roman" w:hAnsi="Times New Roman"/>
        </w:rPr>
        <w:t xml:space="preserve"> and credited with earnings from that Investment Pool monthly.</w:t>
      </w:r>
    </w:p>
    <w:p w:rsidR="00135196" w:rsidRPr="008E005F" w:rsidRDefault="00135196" w:rsidP="008E005F">
      <w:pPr>
        <w:numPr>
          <w:ilvl w:val="0"/>
          <w:numId w:val="2"/>
        </w:numPr>
        <w:spacing w:before="240" w:line="288" w:lineRule="auto"/>
        <w:rPr>
          <w:b/>
        </w:rPr>
      </w:pPr>
      <w:r w:rsidRPr="008E005F">
        <w:rPr>
          <w:b/>
        </w:rPr>
        <w:t>Endowed</w:t>
      </w:r>
    </w:p>
    <w:p w:rsidR="007756F5" w:rsidRDefault="008D0C8A" w:rsidP="007756F5">
      <w:pPr>
        <w:pStyle w:val="BodyTextIndent"/>
        <w:spacing w:before="240" w:line="288" w:lineRule="auto"/>
        <w:rPr>
          <w:rFonts w:ascii="Times New Roman" w:hAnsi="Times New Roman"/>
        </w:rPr>
      </w:pPr>
      <w:r>
        <w:rPr>
          <w:rFonts w:ascii="Times New Roman" w:hAnsi="Times New Roman"/>
        </w:rPr>
        <w:t>Endowed funds</w:t>
      </w:r>
      <w:r w:rsidR="008E005F">
        <w:rPr>
          <w:rFonts w:ascii="Times New Roman" w:hAnsi="Times New Roman"/>
        </w:rPr>
        <w:t xml:space="preserve"> are</w:t>
      </w:r>
      <w:r>
        <w:rPr>
          <w:rFonts w:ascii="Times New Roman" w:hAnsi="Times New Roman"/>
        </w:rPr>
        <w:t xml:space="preserve"> </w:t>
      </w:r>
      <w:r w:rsidR="008E005F">
        <w:rPr>
          <w:rFonts w:ascii="Times New Roman" w:hAnsi="Times New Roman"/>
        </w:rPr>
        <w:t xml:space="preserve">invested in perpetuity. Gifts to this type of DAF create the endowment corpus, which is </w:t>
      </w:r>
      <w:r>
        <w:rPr>
          <w:rFonts w:ascii="Times New Roman" w:hAnsi="Times New Roman"/>
        </w:rPr>
        <w:t xml:space="preserve">invested </w:t>
      </w:r>
      <w:r w:rsidR="00135196">
        <w:rPr>
          <w:rFonts w:ascii="Times New Roman" w:hAnsi="Times New Roman"/>
        </w:rPr>
        <w:t xml:space="preserve">for total return, </w:t>
      </w:r>
      <w:r>
        <w:rPr>
          <w:rFonts w:ascii="Times New Roman" w:hAnsi="Times New Roman"/>
        </w:rPr>
        <w:t>and administered in accordance with the Foundation’s Endowment Investment and Spending Policy.</w:t>
      </w:r>
      <w:r w:rsidR="00135196">
        <w:rPr>
          <w:rFonts w:ascii="Times New Roman" w:hAnsi="Times New Roman"/>
        </w:rPr>
        <w:t xml:space="preserve">  Endowment payout</w:t>
      </w:r>
      <w:r w:rsidR="007756F5">
        <w:rPr>
          <w:rFonts w:ascii="Times New Roman" w:hAnsi="Times New Roman"/>
        </w:rPr>
        <w:t xml:space="preserve"> is made available to the fund monthly</w:t>
      </w:r>
      <w:r w:rsidR="00135196">
        <w:rPr>
          <w:rFonts w:ascii="Times New Roman" w:hAnsi="Times New Roman"/>
        </w:rPr>
        <w:t>,</w:t>
      </w:r>
      <w:r w:rsidR="007756F5">
        <w:rPr>
          <w:rFonts w:ascii="Times New Roman" w:hAnsi="Times New Roman"/>
        </w:rPr>
        <w:t xml:space="preserve"> </w:t>
      </w:r>
      <w:r w:rsidR="00135196">
        <w:rPr>
          <w:rFonts w:ascii="Times New Roman" w:hAnsi="Times New Roman"/>
        </w:rPr>
        <w:t xml:space="preserve">and the balance accumulates </w:t>
      </w:r>
      <w:r w:rsidR="007756F5">
        <w:rPr>
          <w:rFonts w:ascii="Times New Roman" w:hAnsi="Times New Roman"/>
        </w:rPr>
        <w:t>for allocation by the donor</w:t>
      </w:r>
      <w:r w:rsidR="00135196">
        <w:rPr>
          <w:rFonts w:ascii="Times New Roman" w:hAnsi="Times New Roman"/>
        </w:rPr>
        <w:t>.</w:t>
      </w:r>
      <w:r w:rsidR="007756F5">
        <w:rPr>
          <w:rFonts w:ascii="Times New Roman" w:hAnsi="Times New Roman"/>
        </w:rPr>
        <w:t xml:space="preserve"> If checked below, the endowment </w:t>
      </w:r>
      <w:r w:rsidR="00135196">
        <w:rPr>
          <w:rFonts w:ascii="Times New Roman" w:hAnsi="Times New Roman"/>
        </w:rPr>
        <w:t>payout</w:t>
      </w:r>
      <w:r w:rsidR="007756F5">
        <w:rPr>
          <w:rFonts w:ascii="Times New Roman" w:hAnsi="Times New Roman"/>
        </w:rPr>
        <w:t xml:space="preserve"> may be added back to principal until otherwise changed to permit the </w:t>
      </w:r>
      <w:r w:rsidR="00135196">
        <w:rPr>
          <w:rFonts w:ascii="Times New Roman" w:hAnsi="Times New Roman"/>
        </w:rPr>
        <w:t xml:space="preserve">endowed </w:t>
      </w:r>
      <w:r w:rsidR="007756F5">
        <w:rPr>
          <w:rFonts w:ascii="Times New Roman" w:hAnsi="Times New Roman"/>
        </w:rPr>
        <w:t>DAF to grow.</w:t>
      </w:r>
    </w:p>
    <w:p w:rsidR="007756F5" w:rsidRDefault="007756F5" w:rsidP="007756F5">
      <w:pPr>
        <w:numPr>
          <w:ilvl w:val="0"/>
          <w:numId w:val="4"/>
        </w:numPr>
        <w:tabs>
          <w:tab w:val="clear" w:pos="360"/>
          <w:tab w:val="num" w:pos="720"/>
        </w:tabs>
        <w:spacing w:before="240" w:line="288" w:lineRule="auto"/>
        <w:ind w:left="720"/>
      </w:pPr>
      <w:r>
        <w:t xml:space="preserve">Add endowment </w:t>
      </w:r>
      <w:r w:rsidR="00135196">
        <w:t>payout</w:t>
      </w:r>
      <w:r>
        <w:t xml:space="preserve"> to principal until otherwise notified.</w:t>
      </w:r>
    </w:p>
    <w:p w:rsidR="008D0C8A" w:rsidRDefault="008D0C8A">
      <w:pPr>
        <w:pStyle w:val="BodyTextIndent"/>
        <w:spacing w:before="240" w:line="288" w:lineRule="auto"/>
        <w:ind w:left="1080"/>
        <w:rPr>
          <w:rFonts w:ascii="Times New Roman" w:hAnsi="Times New Roman"/>
        </w:rPr>
      </w:pPr>
    </w:p>
    <w:p w:rsidR="008D0C8A" w:rsidRDefault="008D0C8A">
      <w:pPr>
        <w:pStyle w:val="Heading4"/>
        <w:spacing w:line="288" w:lineRule="auto"/>
        <w:rPr>
          <w:rFonts w:ascii="Times New Roman" w:hAnsi="Times New Roman"/>
          <w:b/>
          <w:u w:val="single"/>
        </w:rPr>
      </w:pPr>
      <w:r>
        <w:rPr>
          <w:rFonts w:ascii="Times New Roman" w:hAnsi="Times New Roman"/>
          <w:b/>
          <w:u w:val="single"/>
        </w:rPr>
        <w:t>Recommendations for Allocations from the DAF</w:t>
      </w:r>
    </w:p>
    <w:p w:rsidR="008D0C8A" w:rsidRDefault="008D0C8A">
      <w:pPr>
        <w:spacing w:line="288" w:lineRule="auto"/>
      </w:pPr>
    </w:p>
    <w:p w:rsidR="008D0C8A" w:rsidRDefault="008D0C8A">
      <w:pPr>
        <w:tabs>
          <w:tab w:val="left" w:pos="6480"/>
        </w:tabs>
        <w:spacing w:line="288" w:lineRule="auto"/>
      </w:pPr>
      <w:r>
        <w:t xml:space="preserve">The Donor(s) acknowledge that all DAFs are the exclusive property of the Foundation and are subject to the control of the Foundation with respect to all recommendations for </w:t>
      </w:r>
      <w:r>
        <w:rPr>
          <w:spacing w:val="-2"/>
        </w:rPr>
        <w:t xml:space="preserve">allocations.  The President and CFO of the Foundation have signature authority over all </w:t>
      </w:r>
      <w:r>
        <w:t>DAFs.</w:t>
      </w:r>
    </w:p>
    <w:p w:rsidR="008D0C8A" w:rsidRDefault="008D0C8A">
      <w:pPr>
        <w:tabs>
          <w:tab w:val="left" w:pos="6480"/>
        </w:tabs>
        <w:spacing w:line="288" w:lineRule="auto"/>
      </w:pPr>
    </w:p>
    <w:p w:rsidR="008D0C8A" w:rsidRDefault="008D0C8A">
      <w:pPr>
        <w:tabs>
          <w:tab w:val="left" w:pos="6480"/>
        </w:tabs>
        <w:spacing w:line="288" w:lineRule="auto"/>
      </w:pPr>
      <w:r>
        <w:t>The Donor(s) as named above, or their successors as named in Part V below, may make recommendations for allocations from the DAF.  Recommendations for allocations will be (1) made in writing via a letter</w:t>
      </w:r>
      <w:r w:rsidR="00135196">
        <w:t xml:space="preserve"> or email</w:t>
      </w:r>
      <w:r>
        <w:t xml:space="preserve"> from the donor or via a form letter provided by the Foundation; (2) directed to the CFO of the Foundation; and (3) subject to review and approval of the President, CFO, or other Foundation officers as determined by the President.</w:t>
      </w:r>
    </w:p>
    <w:p w:rsidR="008D0C8A" w:rsidRDefault="008D0C8A">
      <w:pPr>
        <w:tabs>
          <w:tab w:val="left" w:pos="6480"/>
        </w:tabs>
        <w:spacing w:line="288" w:lineRule="auto"/>
      </w:pPr>
    </w:p>
    <w:p w:rsidR="008D0C8A" w:rsidRPr="00CE54C8" w:rsidRDefault="008D0C8A">
      <w:pPr>
        <w:tabs>
          <w:tab w:val="left" w:pos="6480"/>
        </w:tabs>
        <w:spacing w:line="288" w:lineRule="auto"/>
        <w:rPr>
          <w:b/>
        </w:rPr>
      </w:pPr>
      <w:r w:rsidRPr="00CE54C8">
        <w:rPr>
          <w:b/>
        </w:rPr>
        <w:t xml:space="preserve">Recommendations for allocations may be made only to other Foundation funds or to UCSD directly.  No allocations may be requested for distribution to other charities.  </w:t>
      </w:r>
    </w:p>
    <w:p w:rsidR="009A719A" w:rsidRDefault="009A719A">
      <w:pPr>
        <w:tabs>
          <w:tab w:val="left" w:pos="6480"/>
        </w:tabs>
        <w:spacing w:line="288" w:lineRule="auto"/>
      </w:pPr>
    </w:p>
    <w:p w:rsidR="008D0C8A" w:rsidRDefault="008D0C8A">
      <w:pPr>
        <w:tabs>
          <w:tab w:val="left" w:pos="6480"/>
        </w:tabs>
        <w:spacing w:line="288" w:lineRule="auto"/>
      </w:pPr>
      <w:r>
        <w:t>Recommendations for allocations may not contain a quid pro quo</w:t>
      </w:r>
      <w:r w:rsidR="00135196">
        <w:t xml:space="preserve"> return component</w:t>
      </w:r>
      <w:r>
        <w:t xml:space="preserve"> (value re</w:t>
      </w:r>
      <w:r w:rsidR="00135196">
        <w:t xml:space="preserve">ceived in exchange for payment).  </w:t>
      </w:r>
      <w:r>
        <w:t xml:space="preserve">Any quid pro quo component is to be separately paid by the Donor. </w:t>
      </w:r>
    </w:p>
    <w:p w:rsidR="00135196" w:rsidRDefault="00135196">
      <w:pPr>
        <w:tabs>
          <w:tab w:val="left" w:pos="6480"/>
        </w:tabs>
        <w:spacing w:line="288" w:lineRule="auto"/>
      </w:pPr>
    </w:p>
    <w:p w:rsidR="008D0C8A" w:rsidRDefault="00AD65DB">
      <w:pPr>
        <w:tabs>
          <w:tab w:val="left" w:pos="6480"/>
        </w:tabs>
        <w:spacing w:line="288" w:lineRule="auto"/>
      </w:pPr>
      <w:r>
        <w:t xml:space="preserve">Recommendations for allocations may not be made to make a payment on an existing pledge.  </w:t>
      </w:r>
    </w:p>
    <w:p w:rsidR="008D0C8A" w:rsidRDefault="008D0C8A">
      <w:pPr>
        <w:pStyle w:val="Heading4"/>
        <w:numPr>
          <w:ilvl w:val="0"/>
          <w:numId w:val="3"/>
        </w:numPr>
        <w:spacing w:before="600" w:line="264" w:lineRule="auto"/>
        <w:rPr>
          <w:rFonts w:ascii="Times New Roman" w:hAnsi="Times New Roman"/>
          <w:b/>
        </w:rPr>
      </w:pPr>
      <w:r>
        <w:rPr>
          <w:rFonts w:ascii="Times New Roman" w:hAnsi="Times New Roman"/>
          <w:b/>
        </w:rPr>
        <w:t>DAF Remainder</w:t>
      </w:r>
    </w:p>
    <w:p w:rsidR="008D0C8A" w:rsidRDefault="008D0C8A">
      <w:pPr>
        <w:spacing w:before="240" w:line="264" w:lineRule="auto"/>
      </w:pPr>
      <w:r>
        <w:t>This DAF is intended to be operational during the lifetime of the Donor(s).  However, at the death of the Donor(s), _______</w:t>
      </w:r>
      <w:r w:rsidR="00A1587F">
        <w:t>_______________</w:t>
      </w:r>
      <w:r>
        <w:t>(fami</w:t>
      </w:r>
      <w:r w:rsidR="00A1587F">
        <w:t xml:space="preserve">ly member name) </w:t>
      </w:r>
      <w:r>
        <w:t>may make recommendations for allocations from the DAF for a period of up to _______________ (not to exceed five years).</w:t>
      </w:r>
    </w:p>
    <w:p w:rsidR="008D0C8A" w:rsidRDefault="008D0C8A">
      <w:pPr>
        <w:spacing w:line="264" w:lineRule="auto"/>
      </w:pPr>
    </w:p>
    <w:p w:rsidR="008D0C8A" w:rsidRDefault="008D0C8A">
      <w:pPr>
        <w:pStyle w:val="BodyText"/>
        <w:tabs>
          <w:tab w:val="clear" w:pos="-1022"/>
          <w:tab w:val="clear" w:pos="-720"/>
          <w:tab w:val="clear" w:pos="0"/>
          <w:tab w:val="clear" w:pos="240"/>
          <w:tab w:val="clear" w:pos="1170"/>
          <w:tab w:val="clear" w:pos="2160"/>
          <w:tab w:val="clear" w:pos="2484"/>
        </w:tabs>
        <w:spacing w:line="264" w:lineRule="auto"/>
        <w:rPr>
          <w:rFonts w:ascii="Times New Roman" w:hAnsi="Times New Roman"/>
        </w:rPr>
      </w:pPr>
      <w:r>
        <w:rPr>
          <w:rFonts w:ascii="Times New Roman" w:hAnsi="Times New Roman"/>
        </w:rPr>
        <w:t xml:space="preserve">At the death of the Donor(s), or upon expiration of the term of the successor(s) named above, any balance remaining in the DAF will be allocated as deemed appropriate by the Board of Trustees of the Foundation, </w:t>
      </w:r>
      <w:r w:rsidR="00135196">
        <w:rPr>
          <w:rFonts w:ascii="Times New Roman" w:hAnsi="Times New Roman"/>
        </w:rPr>
        <w:t>with preference for the following purpose</w:t>
      </w:r>
      <w:r>
        <w:rPr>
          <w:rFonts w:ascii="Times New Roman" w:hAnsi="Times New Roman"/>
        </w:rPr>
        <w:t xml:space="preserve">: ________________________________________________________________________.  </w:t>
      </w:r>
    </w:p>
    <w:p w:rsidR="008D0C8A" w:rsidRDefault="008D0C8A">
      <w:pPr>
        <w:spacing w:line="264" w:lineRule="auto"/>
      </w:pPr>
    </w:p>
    <w:p w:rsidR="008D0C8A" w:rsidRDefault="008D0C8A">
      <w:pPr>
        <w:spacing w:line="264" w:lineRule="auto"/>
      </w:pPr>
      <w:r>
        <w:t xml:space="preserve">At the death of the Donor(s), the market value of an endowed DAF must meet the minimum required for a standard endowed fund in the Foundation or UCSD, or it will be allocated to an expendable fund. </w:t>
      </w:r>
    </w:p>
    <w:p w:rsidR="008D0C8A" w:rsidRDefault="008D0C8A">
      <w:pPr>
        <w:spacing w:line="264" w:lineRule="auto"/>
      </w:pPr>
    </w:p>
    <w:p w:rsidR="008D0C8A" w:rsidRDefault="008D0C8A">
      <w:pPr>
        <w:spacing w:line="264" w:lineRule="auto"/>
      </w:pPr>
      <w:r>
        <w:t xml:space="preserve">If the DAF is (1) inactive for more than three years; (2) the Donor(s) have had no contact with the Foundation; and (3) Donor(s) do not respond to requests from the Foundation for recommendations or other information, the Board of Trustees will give written notice to the </w:t>
      </w:r>
      <w:r>
        <w:lastRenderedPageBreak/>
        <w:t>Donor(s), or last known successor, that the right to make further recommendations is terminated. The balance in the DAF will be allocated as deemed appropriate by the Board of Trustees of the Foundation.</w:t>
      </w:r>
    </w:p>
    <w:p w:rsidR="008D0C8A" w:rsidRDefault="008D0C8A">
      <w:pPr>
        <w:pStyle w:val="Heading4"/>
        <w:numPr>
          <w:ilvl w:val="0"/>
          <w:numId w:val="3"/>
        </w:numPr>
        <w:spacing w:before="480" w:line="264" w:lineRule="auto"/>
        <w:rPr>
          <w:rFonts w:ascii="Times New Roman" w:hAnsi="Times New Roman"/>
          <w:b/>
        </w:rPr>
      </w:pPr>
      <w:r>
        <w:rPr>
          <w:rFonts w:ascii="Times New Roman" w:hAnsi="Times New Roman"/>
          <w:b/>
        </w:rPr>
        <w:t>DAF Provisions</w:t>
      </w:r>
    </w:p>
    <w:p w:rsidR="00A1587F" w:rsidRDefault="008D0C8A" w:rsidP="00A1587F">
      <w:pPr>
        <w:pStyle w:val="BodyText"/>
        <w:tabs>
          <w:tab w:val="clear" w:pos="-1022"/>
          <w:tab w:val="clear" w:pos="-720"/>
          <w:tab w:val="clear" w:pos="0"/>
          <w:tab w:val="clear" w:pos="240"/>
          <w:tab w:val="clear" w:pos="1170"/>
          <w:tab w:val="clear" w:pos="2160"/>
          <w:tab w:val="clear" w:pos="2484"/>
        </w:tabs>
        <w:spacing w:before="240" w:line="264" w:lineRule="auto"/>
      </w:pPr>
      <w:r>
        <w:rPr>
          <w:rFonts w:ascii="Times New Roman" w:hAnsi="Times New Roman"/>
        </w:rPr>
        <w:t xml:space="preserve">This DAF Agreement is irrevocable.  To ensure the DAF is a qualified component of the Foundation for Federal Tax purposes, the Foundation shall have the sole power to modify the terms of this agreement to the extent required to ensure such qualification.  The agreement shall be governed by the laws of the State of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w:t>
      </w:r>
    </w:p>
    <w:p w:rsidR="008D0C8A" w:rsidRPr="00A1587F" w:rsidRDefault="008D0C8A" w:rsidP="00A1587F">
      <w:pPr>
        <w:pStyle w:val="BodyText"/>
        <w:tabs>
          <w:tab w:val="clear" w:pos="-1022"/>
          <w:tab w:val="clear" w:pos="-720"/>
          <w:tab w:val="clear" w:pos="0"/>
          <w:tab w:val="clear" w:pos="240"/>
          <w:tab w:val="clear" w:pos="1170"/>
          <w:tab w:val="clear" w:pos="2160"/>
          <w:tab w:val="clear" w:pos="2484"/>
        </w:tabs>
        <w:spacing w:before="240" w:line="264" w:lineRule="auto"/>
        <w:rPr>
          <w:rFonts w:ascii="Times New Roman" w:hAnsi="Times New Roman"/>
        </w:rPr>
      </w:pPr>
      <w:r>
        <w:t>IN WITNESS HEREOF, the Foundation and the Donor(s) have executed this agreement on the date specified below:</w:t>
      </w:r>
    </w:p>
    <w:p w:rsidR="008D0C8A" w:rsidRDefault="008D0C8A">
      <w:pPr>
        <w:spacing w:line="288" w:lineRule="auto"/>
      </w:pPr>
    </w:p>
    <w:p w:rsidR="008D0C8A" w:rsidRDefault="008D0C8A">
      <w:pPr>
        <w:spacing w:line="288" w:lineRule="auto"/>
      </w:pPr>
    </w:p>
    <w:p w:rsidR="008D0C8A" w:rsidRDefault="008D0C8A">
      <w:pPr>
        <w:pStyle w:val="Heading1"/>
        <w:spacing w:line="288" w:lineRule="auto"/>
        <w:ind w:right="4230" w:firstLine="0"/>
        <w:jc w:val="center"/>
        <w:rPr>
          <w:rFonts w:ascii="Times New Roman" w:hAnsi="Times New Roman"/>
        </w:rPr>
      </w:pPr>
      <w:r>
        <w:rPr>
          <w:rFonts w:ascii="Times New Roman" w:hAnsi="Times New Roman"/>
        </w:rPr>
        <w:t xml:space="preserve">UC </w:t>
      </w:r>
      <w:smartTag w:uri="urn:schemas-microsoft-com:office:smarttags" w:element="City">
        <w:smartTag w:uri="urn:schemas-microsoft-com:office:smarttags" w:element="place">
          <w:r>
            <w:rPr>
              <w:rFonts w:ascii="Times New Roman" w:hAnsi="Times New Roman"/>
            </w:rPr>
            <w:t>San Diego</w:t>
          </w:r>
        </w:smartTag>
      </w:smartTag>
      <w:r>
        <w:rPr>
          <w:rFonts w:ascii="Times New Roman" w:hAnsi="Times New Roman"/>
        </w:rPr>
        <w:t xml:space="preserve"> Foundation</w:t>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By its:</w:t>
      </w:r>
      <w:r>
        <w:rPr>
          <w:rFonts w:ascii="Times New Roman" w:hAnsi="Times New Roman"/>
        </w:rPr>
        <w:tab/>
      </w:r>
      <w:r>
        <w:rPr>
          <w:rFonts w:ascii="Times New Roman" w:hAnsi="Times New Roman"/>
          <w:u w:val="single"/>
        </w:rPr>
        <w:tab/>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u w:val="single"/>
        </w:rPr>
        <w:tab/>
      </w:r>
    </w:p>
    <w:p w:rsidR="008D0C8A" w:rsidRDefault="008D0C8A">
      <w:pPr>
        <w:pStyle w:val="Heading1"/>
        <w:spacing w:line="288" w:lineRule="auto"/>
        <w:ind w:right="4230" w:firstLine="0"/>
        <w:jc w:val="center"/>
        <w:rPr>
          <w:rFonts w:ascii="Times New Roman" w:hAnsi="Times New Roman"/>
        </w:rPr>
      </w:pPr>
    </w:p>
    <w:p w:rsidR="008D0C8A" w:rsidRDefault="008D0C8A">
      <w:pPr>
        <w:spacing w:line="288" w:lineRule="auto"/>
      </w:pPr>
    </w:p>
    <w:p w:rsidR="008D0C8A" w:rsidRDefault="008D0C8A">
      <w:pPr>
        <w:pStyle w:val="Heading1"/>
        <w:spacing w:line="288" w:lineRule="auto"/>
        <w:ind w:right="4230" w:firstLine="0"/>
        <w:jc w:val="center"/>
        <w:rPr>
          <w:rFonts w:ascii="Times New Roman" w:hAnsi="Times New Roman"/>
        </w:rPr>
      </w:pPr>
      <w:r>
        <w:rPr>
          <w:rFonts w:ascii="Times New Roman" w:hAnsi="Times New Roman"/>
        </w:rPr>
        <w:t>Donor</w:t>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60" w:line="288" w:lineRule="auto"/>
        <w:rPr>
          <w:rFonts w:ascii="Times New Roman" w:hAnsi="Times New Roman"/>
        </w:rPr>
      </w:pPr>
      <w:r>
        <w:rPr>
          <w:rFonts w:ascii="Times New Roman" w:hAnsi="Times New Roman"/>
        </w:rPr>
        <w:t>Name:</w:t>
      </w:r>
      <w:r>
        <w:rPr>
          <w:rFonts w:ascii="Times New Roman" w:hAnsi="Times New Roman"/>
        </w:rPr>
        <w:tab/>
      </w:r>
      <w:r>
        <w:rPr>
          <w:rFonts w:ascii="Times New Roman" w:hAnsi="Times New Roman"/>
          <w:u w:val="single"/>
        </w:rPr>
        <w:tab/>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u w:val="single"/>
        </w:rPr>
        <w:tab/>
      </w:r>
    </w:p>
    <w:p w:rsidR="008D0C8A" w:rsidRDefault="008D0C8A">
      <w:pPr>
        <w:spacing w:line="288" w:lineRule="auto"/>
      </w:pPr>
    </w:p>
    <w:p w:rsidR="008D0C8A" w:rsidRDefault="008D0C8A">
      <w:pPr>
        <w:spacing w:line="288" w:lineRule="auto"/>
      </w:pPr>
    </w:p>
    <w:p w:rsidR="008D0C8A" w:rsidRDefault="008D0C8A">
      <w:pPr>
        <w:pStyle w:val="Heading1"/>
        <w:spacing w:line="288" w:lineRule="auto"/>
        <w:ind w:right="4230" w:firstLine="0"/>
        <w:jc w:val="center"/>
        <w:rPr>
          <w:rFonts w:ascii="Times New Roman" w:hAnsi="Times New Roman"/>
        </w:rPr>
      </w:pPr>
      <w:r>
        <w:rPr>
          <w:rFonts w:ascii="Times New Roman" w:hAnsi="Times New Roman"/>
        </w:rPr>
        <w:t>Donor</w:t>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60" w:line="288" w:lineRule="auto"/>
        <w:rPr>
          <w:rFonts w:ascii="Times New Roman" w:hAnsi="Times New Roman"/>
        </w:rPr>
      </w:pPr>
      <w:r>
        <w:rPr>
          <w:rFonts w:ascii="Times New Roman" w:hAnsi="Times New Roman"/>
        </w:rPr>
        <w:t>Name:</w:t>
      </w:r>
      <w:r>
        <w:rPr>
          <w:rFonts w:ascii="Times New Roman" w:hAnsi="Times New Roman"/>
        </w:rPr>
        <w:tab/>
      </w:r>
      <w:r>
        <w:rPr>
          <w:rFonts w:ascii="Times New Roman" w:hAnsi="Times New Roman"/>
          <w:u w:val="single"/>
        </w:rPr>
        <w:tab/>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u w:val="single"/>
        </w:rPr>
        <w:tab/>
      </w:r>
    </w:p>
    <w:p w:rsidR="008D0C8A" w:rsidRDefault="008D0C8A">
      <w:pPr>
        <w:spacing w:line="288" w:lineRule="auto"/>
      </w:pPr>
    </w:p>
    <w:sectPr w:rsidR="008D0C8A" w:rsidSect="008E005F">
      <w:headerReference w:type="default" r:id="rId8"/>
      <w:footerReference w:type="default" r:id="rId9"/>
      <w:headerReference w:type="first" r:id="rId10"/>
      <w:footerReference w:type="first" r:id="rId11"/>
      <w:pgSz w:w="12240" w:h="15840" w:code="1"/>
      <w:pgMar w:top="1296" w:right="1440" w:bottom="129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CC" w:rsidRDefault="001F11CC">
      <w:r>
        <w:separator/>
      </w:r>
    </w:p>
  </w:endnote>
  <w:endnote w:type="continuationSeparator" w:id="0">
    <w:p w:rsidR="001F11CC" w:rsidRDefault="001F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8A" w:rsidRDefault="008D0C8A">
    <w:pPr>
      <w:pStyle w:val="Footer"/>
      <w:jc w:val="cente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B" w:rsidRPr="00AD65DB" w:rsidRDefault="00AD65DB">
    <w:pPr>
      <w:pStyle w:val="Footer"/>
      <w:rPr>
        <w:sz w:val="16"/>
        <w:szCs w:val="16"/>
      </w:rPr>
    </w:pPr>
    <w:r>
      <w:tab/>
    </w:r>
    <w:r>
      <w:tab/>
    </w:r>
    <w:r w:rsidRPr="00AD65DB">
      <w:rPr>
        <w:sz w:val="16"/>
        <w:szCs w:val="16"/>
      </w:rPr>
      <w:t>Revised August 22, 2012</w:t>
    </w:r>
  </w:p>
  <w:p w:rsidR="00AD65DB" w:rsidRDefault="00AD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CC" w:rsidRDefault="001F11CC">
      <w:r>
        <w:separator/>
      </w:r>
    </w:p>
  </w:footnote>
  <w:footnote w:type="continuationSeparator" w:id="0">
    <w:p w:rsidR="001F11CC" w:rsidRDefault="001F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8A" w:rsidRDefault="008D0C8A">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B" w:rsidRDefault="00AD65DB">
    <w:pPr>
      <w:pStyle w:val="Header"/>
    </w:pPr>
  </w:p>
  <w:p w:rsidR="00AD65DB" w:rsidRDefault="00AD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0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DF161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AE06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CD73BD6"/>
    <w:multiLevelType w:val="singleLevel"/>
    <w:tmpl w:val="7AA8F610"/>
    <w:lvl w:ilvl="0">
      <w:start w:val="1"/>
      <w:numFmt w:val="upperRoman"/>
      <w:lvlText w:val="%1."/>
      <w:lvlJc w:val="left"/>
      <w:pPr>
        <w:tabs>
          <w:tab w:val="num" w:pos="720"/>
        </w:tabs>
        <w:ind w:left="720" w:hanging="720"/>
      </w:pPr>
      <w:rPr>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4775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F5"/>
    <w:rsid w:val="00067EB1"/>
    <w:rsid w:val="00135196"/>
    <w:rsid w:val="001E0A7C"/>
    <w:rsid w:val="001F11CC"/>
    <w:rsid w:val="003D700E"/>
    <w:rsid w:val="00417AD3"/>
    <w:rsid w:val="00674114"/>
    <w:rsid w:val="007756F5"/>
    <w:rsid w:val="008D0C8A"/>
    <w:rsid w:val="008E005F"/>
    <w:rsid w:val="009A719A"/>
    <w:rsid w:val="00A1587F"/>
    <w:rsid w:val="00AD65DB"/>
    <w:rsid w:val="00B74F22"/>
    <w:rsid w:val="00CE54C8"/>
    <w:rsid w:val="00ED2B9A"/>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170"/>
      </w:tabs>
      <w:spacing w:line="230" w:lineRule="auto"/>
      <w:ind w:firstLine="720"/>
      <w:outlineLvl w:val="0"/>
    </w:pPr>
    <w:rPr>
      <w:rFonts w:ascii="CG Times (W1)" w:hAnsi="CG Times (W1)"/>
      <w:caps/>
    </w:rPr>
  </w:style>
  <w:style w:type="paragraph" w:styleId="Heading2">
    <w:name w:val="heading 2"/>
    <w:basedOn w:val="Normal"/>
    <w:next w:val="Normal"/>
    <w:qFormat/>
    <w:pPr>
      <w:keepNext/>
      <w:tabs>
        <w:tab w:val="left" w:pos="-1022"/>
        <w:tab w:val="left" w:pos="-720"/>
        <w:tab w:val="left" w:pos="0"/>
        <w:tab w:val="left" w:pos="720"/>
        <w:tab w:val="left" w:pos="1170"/>
        <w:tab w:val="left" w:pos="2160"/>
        <w:tab w:val="left" w:pos="2880"/>
        <w:tab w:val="left" w:pos="3420"/>
      </w:tabs>
      <w:spacing w:line="230" w:lineRule="auto"/>
      <w:ind w:firstLine="1170"/>
      <w:outlineLvl w:val="1"/>
    </w:pPr>
    <w:rPr>
      <w:rFonts w:ascii="CG Times (W1)" w:hAnsi="CG Times (W1)"/>
    </w:rPr>
  </w:style>
  <w:style w:type="paragraph" w:styleId="Heading4">
    <w:name w:val="heading 4"/>
    <w:basedOn w:val="Normal"/>
    <w:next w:val="Normal"/>
    <w:qFormat/>
    <w:pPr>
      <w:keepNext/>
      <w:tabs>
        <w:tab w:val="left" w:pos="-1022"/>
        <w:tab w:val="left" w:pos="-720"/>
        <w:tab w:val="left" w:pos="0"/>
        <w:tab w:val="left" w:pos="720"/>
        <w:tab w:val="left" w:pos="1170"/>
        <w:tab w:val="left" w:pos="2160"/>
        <w:tab w:val="left" w:pos="2484"/>
        <w:tab w:val="left" w:pos="2880"/>
        <w:tab w:val="left" w:pos="3600"/>
        <w:tab w:val="left" w:pos="4320"/>
        <w:tab w:val="left" w:pos="5040"/>
        <w:tab w:val="left" w:pos="5760"/>
        <w:tab w:val="left" w:pos="6480"/>
        <w:tab w:val="left" w:pos="7200"/>
        <w:tab w:val="right" w:pos="9360"/>
      </w:tabs>
      <w:spacing w:line="230" w:lineRule="auto"/>
      <w:outlineLvl w:val="3"/>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BodyTextIndent">
    <w:name w:val="Body Text Indent"/>
    <w:basedOn w:val="Normal"/>
    <w:pPr>
      <w:tabs>
        <w:tab w:val="left" w:pos="360"/>
      </w:tabs>
      <w:spacing w:line="280" w:lineRule="exact"/>
      <w:ind w:left="360"/>
    </w:pPr>
    <w:rPr>
      <w:rFonts w:ascii="CG Times (W1)" w:hAnsi="CG Times (W1)"/>
    </w:rPr>
  </w:style>
  <w:style w:type="paragraph" w:styleId="BodyText">
    <w:name w:val="Body Text"/>
    <w:basedOn w:val="Normal"/>
    <w:pPr>
      <w:tabs>
        <w:tab w:val="left" w:pos="-1022"/>
        <w:tab w:val="left" w:pos="-720"/>
        <w:tab w:val="left" w:pos="0"/>
        <w:tab w:val="left" w:pos="240"/>
        <w:tab w:val="left" w:pos="1170"/>
        <w:tab w:val="left" w:pos="2160"/>
        <w:tab w:val="left" w:pos="2484"/>
      </w:tabs>
      <w:spacing w:line="230" w:lineRule="auto"/>
    </w:pPr>
    <w:rPr>
      <w:rFonts w:ascii="CG Times (W1)" w:hAnsi="CG Times (W1)"/>
    </w:rPr>
  </w:style>
  <w:style w:type="character" w:styleId="PageNumber">
    <w:name w:val="page number"/>
    <w:basedOn w:val="DefaultParagraphFont"/>
  </w:style>
  <w:style w:type="paragraph" w:styleId="BodyTextIndent2">
    <w:name w:val="Body Text Indent 2"/>
    <w:basedOn w:val="Normal"/>
    <w:pPr>
      <w:spacing w:before="60"/>
      <w:ind w:left="360"/>
    </w:pPr>
  </w:style>
  <w:style w:type="paragraph" w:styleId="BodyTextIndent3">
    <w:name w:val="Body Text Indent 3"/>
    <w:basedOn w:val="Normal"/>
    <w:pPr>
      <w:ind w:left="720"/>
    </w:pPr>
    <w:rPr>
      <w:rFonts w:ascii="CG Times" w:hAnsi="CG Times"/>
    </w:r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uiPriority w:val="99"/>
    <w:rsid w:val="00AD65DB"/>
  </w:style>
  <w:style w:type="paragraph" w:styleId="BalloonText">
    <w:name w:val="Balloon Text"/>
    <w:basedOn w:val="Normal"/>
    <w:link w:val="BalloonTextChar"/>
    <w:uiPriority w:val="99"/>
    <w:semiHidden/>
    <w:unhideWhenUsed/>
    <w:rsid w:val="00AD65DB"/>
    <w:rPr>
      <w:rFonts w:ascii="Tahoma" w:hAnsi="Tahoma" w:cs="Tahoma"/>
      <w:sz w:val="16"/>
      <w:szCs w:val="16"/>
    </w:rPr>
  </w:style>
  <w:style w:type="character" w:customStyle="1" w:styleId="BalloonTextChar">
    <w:name w:val="Balloon Text Char"/>
    <w:basedOn w:val="DefaultParagraphFont"/>
    <w:link w:val="BalloonText"/>
    <w:uiPriority w:val="99"/>
    <w:semiHidden/>
    <w:rsid w:val="00AD65DB"/>
    <w:rPr>
      <w:rFonts w:ascii="Tahoma" w:hAnsi="Tahoma" w:cs="Tahoma"/>
      <w:sz w:val="16"/>
      <w:szCs w:val="16"/>
    </w:rPr>
  </w:style>
  <w:style w:type="character" w:customStyle="1" w:styleId="FooterChar">
    <w:name w:val="Footer Char"/>
    <w:link w:val="Footer"/>
    <w:uiPriority w:val="99"/>
    <w:rsid w:val="00AD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170"/>
      </w:tabs>
      <w:spacing w:line="230" w:lineRule="auto"/>
      <w:ind w:firstLine="720"/>
      <w:outlineLvl w:val="0"/>
    </w:pPr>
    <w:rPr>
      <w:rFonts w:ascii="CG Times (W1)" w:hAnsi="CG Times (W1)"/>
      <w:caps/>
    </w:rPr>
  </w:style>
  <w:style w:type="paragraph" w:styleId="Heading2">
    <w:name w:val="heading 2"/>
    <w:basedOn w:val="Normal"/>
    <w:next w:val="Normal"/>
    <w:qFormat/>
    <w:pPr>
      <w:keepNext/>
      <w:tabs>
        <w:tab w:val="left" w:pos="-1022"/>
        <w:tab w:val="left" w:pos="-720"/>
        <w:tab w:val="left" w:pos="0"/>
        <w:tab w:val="left" w:pos="720"/>
        <w:tab w:val="left" w:pos="1170"/>
        <w:tab w:val="left" w:pos="2160"/>
        <w:tab w:val="left" w:pos="2880"/>
        <w:tab w:val="left" w:pos="3420"/>
      </w:tabs>
      <w:spacing w:line="230" w:lineRule="auto"/>
      <w:ind w:firstLine="1170"/>
      <w:outlineLvl w:val="1"/>
    </w:pPr>
    <w:rPr>
      <w:rFonts w:ascii="CG Times (W1)" w:hAnsi="CG Times (W1)"/>
    </w:rPr>
  </w:style>
  <w:style w:type="paragraph" w:styleId="Heading4">
    <w:name w:val="heading 4"/>
    <w:basedOn w:val="Normal"/>
    <w:next w:val="Normal"/>
    <w:qFormat/>
    <w:pPr>
      <w:keepNext/>
      <w:tabs>
        <w:tab w:val="left" w:pos="-1022"/>
        <w:tab w:val="left" w:pos="-720"/>
        <w:tab w:val="left" w:pos="0"/>
        <w:tab w:val="left" w:pos="720"/>
        <w:tab w:val="left" w:pos="1170"/>
        <w:tab w:val="left" w:pos="2160"/>
        <w:tab w:val="left" w:pos="2484"/>
        <w:tab w:val="left" w:pos="2880"/>
        <w:tab w:val="left" w:pos="3600"/>
        <w:tab w:val="left" w:pos="4320"/>
        <w:tab w:val="left" w:pos="5040"/>
        <w:tab w:val="left" w:pos="5760"/>
        <w:tab w:val="left" w:pos="6480"/>
        <w:tab w:val="left" w:pos="7200"/>
        <w:tab w:val="right" w:pos="9360"/>
      </w:tabs>
      <w:spacing w:line="230" w:lineRule="auto"/>
      <w:outlineLvl w:val="3"/>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BodyTextIndent">
    <w:name w:val="Body Text Indent"/>
    <w:basedOn w:val="Normal"/>
    <w:pPr>
      <w:tabs>
        <w:tab w:val="left" w:pos="360"/>
      </w:tabs>
      <w:spacing w:line="280" w:lineRule="exact"/>
      <w:ind w:left="360"/>
    </w:pPr>
    <w:rPr>
      <w:rFonts w:ascii="CG Times (W1)" w:hAnsi="CG Times (W1)"/>
    </w:rPr>
  </w:style>
  <w:style w:type="paragraph" w:styleId="BodyText">
    <w:name w:val="Body Text"/>
    <w:basedOn w:val="Normal"/>
    <w:pPr>
      <w:tabs>
        <w:tab w:val="left" w:pos="-1022"/>
        <w:tab w:val="left" w:pos="-720"/>
        <w:tab w:val="left" w:pos="0"/>
        <w:tab w:val="left" w:pos="240"/>
        <w:tab w:val="left" w:pos="1170"/>
        <w:tab w:val="left" w:pos="2160"/>
        <w:tab w:val="left" w:pos="2484"/>
      </w:tabs>
      <w:spacing w:line="230" w:lineRule="auto"/>
    </w:pPr>
    <w:rPr>
      <w:rFonts w:ascii="CG Times (W1)" w:hAnsi="CG Times (W1)"/>
    </w:rPr>
  </w:style>
  <w:style w:type="character" w:styleId="PageNumber">
    <w:name w:val="page number"/>
    <w:basedOn w:val="DefaultParagraphFont"/>
  </w:style>
  <w:style w:type="paragraph" w:styleId="BodyTextIndent2">
    <w:name w:val="Body Text Indent 2"/>
    <w:basedOn w:val="Normal"/>
    <w:pPr>
      <w:spacing w:before="60"/>
      <w:ind w:left="360"/>
    </w:pPr>
  </w:style>
  <w:style w:type="paragraph" w:styleId="BodyTextIndent3">
    <w:name w:val="Body Text Indent 3"/>
    <w:basedOn w:val="Normal"/>
    <w:pPr>
      <w:ind w:left="720"/>
    </w:pPr>
    <w:rPr>
      <w:rFonts w:ascii="CG Times" w:hAnsi="CG Times"/>
    </w:r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uiPriority w:val="99"/>
    <w:rsid w:val="00AD65DB"/>
  </w:style>
  <w:style w:type="paragraph" w:styleId="BalloonText">
    <w:name w:val="Balloon Text"/>
    <w:basedOn w:val="Normal"/>
    <w:link w:val="BalloonTextChar"/>
    <w:uiPriority w:val="99"/>
    <w:semiHidden/>
    <w:unhideWhenUsed/>
    <w:rsid w:val="00AD65DB"/>
    <w:rPr>
      <w:rFonts w:ascii="Tahoma" w:hAnsi="Tahoma" w:cs="Tahoma"/>
      <w:sz w:val="16"/>
      <w:szCs w:val="16"/>
    </w:rPr>
  </w:style>
  <w:style w:type="character" w:customStyle="1" w:styleId="BalloonTextChar">
    <w:name w:val="Balloon Text Char"/>
    <w:basedOn w:val="DefaultParagraphFont"/>
    <w:link w:val="BalloonText"/>
    <w:uiPriority w:val="99"/>
    <w:semiHidden/>
    <w:rsid w:val="00AD65DB"/>
    <w:rPr>
      <w:rFonts w:ascii="Tahoma" w:hAnsi="Tahoma" w:cs="Tahoma"/>
      <w:sz w:val="16"/>
      <w:szCs w:val="16"/>
    </w:rPr>
  </w:style>
  <w:style w:type="character" w:customStyle="1" w:styleId="FooterChar">
    <w:name w:val="Footer Char"/>
    <w:link w:val="Footer"/>
    <w:uiPriority w:val="99"/>
    <w:rsid w:val="00AD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UC San Diego Foundation</vt:lpstr>
    </vt:vector>
  </TitlesOfParts>
  <Company>External Relations</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 Diego Foundation</dc:title>
  <dc:creator>cberggren</dc:creator>
  <cp:lastModifiedBy>Terry, Kathleen</cp:lastModifiedBy>
  <cp:revision>2</cp:revision>
  <cp:lastPrinted>1999-06-07T15:51:00Z</cp:lastPrinted>
  <dcterms:created xsi:type="dcterms:W3CDTF">2017-06-13T22:50:00Z</dcterms:created>
  <dcterms:modified xsi:type="dcterms:W3CDTF">2017-06-13T22:50:00Z</dcterms:modified>
</cp:coreProperties>
</file>